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Департамента социальной защиты населения Владимирской обл. от 20.05.2021 N 11</w:t>
              <w:br/>
              <w:t xml:space="preserve">(ред. от 05.05.2022)</w:t>
              <w:br/>
              <w:t xml:space="preserve">"Об утверждении норм питания в организациях социального обслуживания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СОЦИАЛЬНОЙ ЗАЩИТЫ НАСЕЛЕНИЯ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мая 2021 г. N 11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НОРМ ПИТАНИЯ В ОРГАНИЗАЦИЯХ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05.05.2022 N 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28.12.2013 </w:t>
      </w:r>
      <w:hyperlink w:history="0" r:id="rId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N 442-ФЗ</w:t>
        </w:r>
      </w:hyperlink>
      <w:r>
        <w:rPr>
          <w:sz w:val="20"/>
        </w:rPr>
        <w:t xml:space="preserve"> "Об основах социального обслуживания граждан в Российской Федерации", от 21.12.1996 </w:t>
      </w:r>
      <w:hyperlink w:history="0" r:id="rId9" w:tooltip="Федеральный закон от 21.12.1996 N 159-ФЗ (ред. от 29.05.2023)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sz w:val="20"/>
            <w:color w:val="0000ff"/>
          </w:rPr>
          <w:t xml:space="preserve">N 159-ФЗ</w:t>
        </w:r>
      </w:hyperlink>
      <w:r>
        <w:rPr>
          <w:sz w:val="20"/>
        </w:rPr>
        <w:t xml:space="preserve"> "О дополнительных гарантиях по социальной поддержке детей-сирот и детей, оставшихся без попечения родителей", </w:t>
      </w:r>
      <w:hyperlink w:history="0" r:id="rId10" w:tooltip="Постановление администрации Владимирской обл. от 28.12.2020 N 887 &quot;Об утверждении Порядка установления и оценки применения обязательных требований&quot; (вместе с &quot;Порядком установления и оценки применения обязательных требований, устанавливаемых нормативными правовыми актами Владимир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области от 28.12.2020 N 887 "Об утверждении Порядка установления и оценки применения обязательных требований"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НОРМЫ">
        <w:r>
          <w:rPr>
            <w:sz w:val="20"/>
            <w:color w:val="0000ff"/>
          </w:rPr>
          <w:t xml:space="preserve">нормы</w:t>
        </w:r>
      </w:hyperlink>
      <w:r>
        <w:rPr>
          <w:sz w:val="20"/>
        </w:rPr>
        <w:t xml:space="preserve"> питания в организациях социального обслуживания Владимирской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заместителей директора Департамента О.В. Артемьеву, Н.В. Голубеву.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01.09.2021, действует по 31.08.2027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Л.Е.КУКУШКИНА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20.05.2021 N 11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НОРМЫ</w:t>
      </w:r>
    </w:p>
    <w:p>
      <w:pPr>
        <w:pStyle w:val="2"/>
        <w:jc w:val="center"/>
      </w:pPr>
      <w:r>
        <w:rPr>
          <w:sz w:val="20"/>
        </w:rPr>
        <w:t xml:space="preserve">ПИТАНИЯ В ОРГАНИЗАЦИЯХ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05.05.2022 N 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нормы питания являются обязательными требованиями для поставщиков социальных услуг Владимирской области независимо от их организационно-правовой формы, формы собственности при предоставлении социальных услуг в стационарной или полустационарной форме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социальной защиты населения Владимирской области от 05.05.2022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Нормы питания в организациях социального обслуживания Владимирской области установлены для следующих категорий получателей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граждане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инвалиды;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 без определенного места жительства и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Нормы питания в организациях социального обслуживания Владимирской области приведены в таблицах 1 - 3.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НОРМЫ</w:t>
      </w:r>
    </w:p>
    <w:p>
      <w:pPr>
        <w:pStyle w:val="2"/>
        <w:jc w:val="center"/>
      </w:pPr>
      <w:r>
        <w:rPr>
          <w:sz w:val="20"/>
        </w:rPr>
        <w:t xml:space="preserve">ПИТАНИЯ В ОРГАНИЗАЦИЯХ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ВЛАДИМИРСКОЙ ОБЛАСТИ ДЛЯ ДЕТЕЙ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850"/>
        <w:gridCol w:w="850"/>
        <w:gridCol w:w="850"/>
        <w:gridCol w:w="850"/>
        <w:gridCol w:w="850"/>
      </w:tblGrid>
      <w:tr>
        <w:tc>
          <w:tcPr>
            <w:tcW w:w="48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продуктов питания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условиях круглосуточного пребывания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условиях дневного пребывания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- 7 лет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7 - 11 лет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лет - 23 года и старше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- 6 лет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старше 6 лет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Хлеб ржаной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52,5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Хлеб пшеничный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Мука пшеничная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12,3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Мука картофельная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Крупы, бобовые, макаронные изделия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26,3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Картофель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Овощи и зелень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164,5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Фрукты свежие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87,5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Соки фруктовые (мл)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Фрукты сухие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5,3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Сахар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26,3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Кондитерские изделия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8,8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Кофе (кофейный напиток)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Какао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Чай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Мясо 1-й категории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36,8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Куры 1-й категории потрошеные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24,5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Рыба-филе, сельдь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Колбасные изделия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8,8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Молоко, кисломолочные продукты (мл)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Творог (9-процентный)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24,5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Сметана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Сыр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4,2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Масло сливочное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17,5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Масло растительное (мл)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6,3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Яйцо диетическое (штук)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 шт. в неделю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 шт. в неделю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Дрожжи хлебопекарные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Соль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2,8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Специи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gridSpan w:val="6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Химический состав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Белки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Жиры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Углеводы (г)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Энергетическая ценность (ккал)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Б. Разрешается производить замену отдельных продуктов питания в соответствии с санитарными правилами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организациям, медицинским организациям, организациям, оказывающим социальные услуги, в которые помещаются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профессиональным 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согласованию с органами здравоохранения определяются продукты и блюда с учетом заболеваний указанных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НОРМЫ</w:t>
      </w:r>
    </w:p>
    <w:p>
      <w:pPr>
        <w:pStyle w:val="2"/>
        <w:jc w:val="center"/>
      </w:pPr>
      <w:r>
        <w:rPr>
          <w:sz w:val="20"/>
        </w:rPr>
        <w:t xml:space="preserve">ПИТАНИЯ В ОРГАНИЗАЦИЯХ СОЦИАЛЬНОГО ОБСЛУЖИВАНИЯ ВЛАДИМИРСКОЙ</w:t>
      </w:r>
    </w:p>
    <w:p>
      <w:pPr>
        <w:pStyle w:val="2"/>
        <w:jc w:val="center"/>
      </w:pPr>
      <w:r>
        <w:rPr>
          <w:sz w:val="20"/>
        </w:rPr>
        <w:t xml:space="preserve">ОБЛАСТИ, ПРЕДОСТАВЛЯЮЩИХ СОЦИАЛЬНЫЕ УСЛУГИ В СТАЦИОНАРНОЙ</w:t>
      </w:r>
    </w:p>
    <w:p>
      <w:pPr>
        <w:pStyle w:val="2"/>
        <w:jc w:val="center"/>
      </w:pPr>
      <w:r>
        <w:rPr>
          <w:sz w:val="20"/>
        </w:rPr>
        <w:t xml:space="preserve">ФОРМЕ ГРАЖДАНАМ ПОЖИЛОГО ВОЗРАСТА И ИНВАЛИДАМ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245"/>
        <w:gridCol w:w="3061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продуктов питания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Среднесуточные нормы питания в организациях социального обслуживания, предоставляющих социальные услуги в стационарной форме гражданам пожилого возраста и инвалидам, за исключением организаций, предоставляющих социальные услуги лицам без определенного места жительства и занятий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(вес брутто, грамм)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Хлеб пшеничный (в т.ч. сухари панировочные)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Хлеб ржаной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Крупы (рисовая, гречневая, пшенная, манная, овсяная); горох, фасоль, чечевица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Макаронные изделия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Мука пшеничная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Картофель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Овощи свежие (капуста, свекла, морковь, лук репчатый, огурцы, помидоры, кабачки, баклажаны, перец сладкий, капуста цветная, капуста брокколи, тыква, фасоль зеленая стручковая), соленые и маринованные, а также зелень (лук зеленый, петрушка, укроп)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362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Овощи консервированные (горошек зеленый, фасоль, кукуруза)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Томат-паста, томат-пюре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Фрукты (ягоды) свежие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Соки фруктовые, овощные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Сухофрукты (курага, чернослив, изюм, компотная смесь, шиповник)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35,4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Кисломолочные напитки (кефир, йогурт, ряженка, простокваша, ацидофилин)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Молоко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Творог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Сметана, майонез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Сыр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Мясо бескостное (говядина, свинина нежирная), печень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Колбасные изделия, сосиски, сардельки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Птица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Рыба, рыбопродукты, нерыбные продукты моря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Яйцо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4 шт. в неделю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Масло сливочное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Масло растительное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Сахар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Кондитерские изделия, в том числе варенье, печенье, конфеты, вафли, выпечка и др.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Дрожжи прессованные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Кофе, какао, цикорий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Крахмал картофельный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Чай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Специи (лавровый лист, горчица, перец черный молотый и др.)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Соль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245" w:type="dxa"/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А. Организациям социального обслуживания граждан пожилого возраста и инвалидов рекомендуется в целях ведения учета услуг по организации питания использовать накопительные ведомости по расходу продуктов питания (форма по </w:t>
      </w:r>
      <w:hyperlink w:history="0" r:id="rId13" w:tooltip="&quot;ОК 011-93. Общероссийский классификатор управленческой документации&quot; (утв. Постановлением Госстандарта России от 30.12.1993 N 299) (ред. от 14.03.2023) ------------ Недействующая редакция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0504038).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Б. Допускается в течение календарного месяца (по данным накопительной ведомости по расходу продуктов питания) отклонение по расходу по отдельным продуктам питания в пределах 10% от нормы. При этом отклонение по одному и тому же продукту в одну и ту же сторону (уменьшение, увеличение) в течение двух и более месяцев подряд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В. По решению создаваемой в организации социального обслуживания комиссии в составе руководителя организации социального обслуживания, медицинского работника, заведующего пищеблоком с личного письменного согласия граждан пожилого возраста и инвалидов допускается с учетом медицинских показаний: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назначение дополнительного питания и увеличение калорийности, пищевой ценности, количества продуктов и выхода блюд на 10 - 15%;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индивидуального объема выдаваемой пищи;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питание по постному меню (в период религиозных постов).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Разрешается выдавать продукты питания на время пребывания получателей социальных услуг в стационарной форме социального обслуживания в семьях родственников или других граждан (во время летних каникул, в праздничные и выходные дни).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Д. В соответствии с рекомендациями медицинской сестры диетической допускается замена продуктов питания по основным пищевым веществам. При этом общий объем каждого потребляемого продукта в календарном месяце не может составлять менее 80% от нормы.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Е. Для выполнения требований по контролю за качеством питания престарелых граждан и инвалидов (приготовление пищи, необходимой для снятия пробы и оставления суточной пробы) допускается производить дополнительную закладку продуктов из расчета на 2 порции.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Ж. В части, не противоречащей настоящему постановлению, организации социального обслуживания могут использовать Методические рекомендации по организации питания в учреждениях (отделениях) социального обслуживания граждан пожилого возраста и инвалидов, утвержденные постановлением Минтруда РФ от 15.02.2002 N 12.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НОРМЫ</w:t>
      </w:r>
    </w:p>
    <w:p>
      <w:pPr>
        <w:pStyle w:val="2"/>
        <w:jc w:val="center"/>
      </w:pPr>
      <w:r>
        <w:rPr>
          <w:sz w:val="20"/>
        </w:rPr>
        <w:t xml:space="preserve">ПИТАНИЯ В ОРГАНИЗАЦИИ (ОТДЕЛЕНИИ)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ЛИЦ БЕЗ ОПРЕДЕЛЕННОГО МЕСТА ЖИТЕЛЬСТВА И ЗАНЯТИЙ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4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социальной защиты</w:t>
      </w:r>
    </w:p>
    <w:p>
      <w:pPr>
        <w:pStyle w:val="0"/>
        <w:jc w:val="center"/>
      </w:pPr>
      <w:r>
        <w:rPr>
          <w:sz w:val="20"/>
        </w:rPr>
        <w:t xml:space="preserve">населения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05.05.2022 N 14)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669"/>
        <w:gridCol w:w="1360"/>
        <w:gridCol w:w="1360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продуктов питания</w:t>
            </w:r>
          </w:p>
        </w:tc>
        <w:tc>
          <w:tcPr>
            <w:gridSpan w:val="2"/>
            <w:tcW w:w="2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Нормы питания (количество продуктов в граммах на одного человека в сутки)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брутто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нетто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Хлеб ржаной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Хлеб пшеничный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Мука пшеничная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Крахмал картофельный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Макаронные изделия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Крупы (рисовая, гречневая, пшенная, манная, овсяная); горох, фасоль, чечевица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Картофель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Овощи свежие (всего),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366,7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Свекла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Морковь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Капуста белокочанная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187,5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Лук репчатый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Огурцы, помидоры (парниковые)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Овощи соленые и маринованные (капуста, огурцы)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Зелень (лук зеленый, петрушка, укроп)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14,8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Овощи консервированные (горошек зеленый, фасоль, кукуруза)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24,7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Фрукты свежие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Сухофрукты (курага, чернослив, изюм, компотная смесь)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20,4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Соки фруктовые, овощные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Говядина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127,7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Птица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22,2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Колбаса вареная, сосиски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Рыба, рыбопродукты, нерыбные продукты моря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59,1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32,5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Творог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20,4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Сыр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Яйцо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1/2 шт.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1/2 шт.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Кисломолочные напитки (кефир, йогурт, ряженка, простокваша, ацидофилин)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Молоко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Масло сливочное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Масло растительное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Сметана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Сахар, варенье, печенье, кондитерские изделия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Чай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Кофе, какао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Дрожжи прессованные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Соль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Томат-паста, томат-пюре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Шиповник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Смесь белковая композитная сухая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Витаминно-минеральные комплексы (% от физиологической нормы)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50 - 100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нормы питания в организации (отделении) социального обслуживания лиц без определенного места жительства и занятий используются для организации четырехразового горячего питания получателей социальных услуг в стационарной форме социального обслуживания. Для организации питания в полустационарной форме социального обслуживания данные нормы питания применяются в соответствии с одноразовым характером питания указанной категории получателей социальных услуг (ужин).</w:t>
      </w:r>
    </w:p>
    <w:p>
      <w:pPr>
        <w:pStyle w:val="0"/>
        <w:jc w:val="both"/>
      </w:pPr>
      <w:r>
        <w:rPr>
          <w:sz w:val="20"/>
        </w:rPr>
        <w:t xml:space="preserve">(примечание введено </w:t>
      </w:r>
      <w:hyperlink w:history="0" r:id="rId15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Департамента социальной защиты населения Владимирской области от 05.05.2022 N 14)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Исключен с 1 сентября 2022 года. - </w:t>
      </w:r>
      <w:hyperlink w:history="0" r:id="rId16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социальной защиты населения Владимирской области от 05.05.2022 N 14.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ПРИМЕРНОЕ МЕНЮ</w:t>
      </w:r>
    </w:p>
    <w:p>
      <w:pPr>
        <w:pStyle w:val="2"/>
        <w:jc w:val="center"/>
      </w:pPr>
      <w:r>
        <w:rPr>
          <w:sz w:val="20"/>
        </w:rPr>
        <w:t xml:space="preserve">В ЦЕНТРАХ СОЦИАЛЬНОЙ АДАПТАЦИИ ЛИЦ БЕЗ ОПРЕДЕЛЕННОГО МЕСТА</w:t>
      </w:r>
    </w:p>
    <w:p>
      <w:pPr>
        <w:pStyle w:val="2"/>
        <w:jc w:val="center"/>
      </w:pPr>
      <w:r>
        <w:rPr>
          <w:sz w:val="20"/>
        </w:rPr>
        <w:t xml:space="preserve">ЖИТЕЛЬСТВА И ЗАНЯТИЙ, ИНЫХ ОРГАНИЗАЦИЯХ, ПРЕДОСТАВЛЯЮЩИХ</w:t>
      </w:r>
    </w:p>
    <w:p>
      <w:pPr>
        <w:pStyle w:val="2"/>
        <w:jc w:val="center"/>
      </w:pPr>
      <w:r>
        <w:rPr>
          <w:sz w:val="20"/>
        </w:rPr>
        <w:t xml:space="preserve">СОЦИАЛЬНЫЕ УСЛУГИ ЛИЦАМ БЕЗ ОПРЕДЕЛЕННОГО МЕСТА ЖИТЕЛЬСТВА</w:t>
      </w:r>
    </w:p>
    <w:p>
      <w:pPr>
        <w:pStyle w:val="2"/>
        <w:jc w:val="center"/>
      </w:pPr>
      <w:r>
        <w:rPr>
          <w:sz w:val="20"/>
        </w:rPr>
        <w:t xml:space="preserve">И ЗАНЯТИЙ (С НОЧНЫМ ПРЕБЫВАНИЕМ)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 с 1 сентября 2022 года. - </w:t>
      </w:r>
      <w:hyperlink w:history="0" r:id="rId17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социальной защиты населения Владимирской области от 05.05.2022 N 14.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Оценка соблюдения установленных обязательных требований поставщиками социальных услуг Владимирской области из числа негосударственных (коммерческих и некоммерческих) организаций социального обслуживания и индивидуальных предпринимателей осуществляется Департаментом социальной защиты населения Владимирской области в рамках регионального государственного контроля (надзора) в сфере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9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социальной защиты населения Владимирской области от 05.05.2022 N 14)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социальной защиты населения Владимирской обл. от 20.05.2021 N 11</w:t>
            <w:br/>
            <w:t>(ред. от 05.05.2022)</w:t>
            <w:br/>
            <w:t>"Об утв...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0C5F4A2CDB916B3BBFBCA64127FD7C68F4EA37444001812376520ED5D9972EB5B38BCA6899835DE051D4EE3B231492096EE68D559B59B00B43F280Bf776K" TargetMode = "External"/>
	<Relationship Id="rId8" Type="http://schemas.openxmlformats.org/officeDocument/2006/relationships/hyperlink" Target="consultantplus://offline/ref=20C5F4A2CDB916B3BBFBCA72011389CC8941FB79430711446E3426BA02C974BE1B78BAF3CADC38D70D161AB2F36F1071D1A565D244A99B05fA79K" TargetMode = "External"/>
	<Relationship Id="rId9" Type="http://schemas.openxmlformats.org/officeDocument/2006/relationships/hyperlink" Target="consultantplus://offline/ref=20C5F4A2CDB916B3BBFBCA72011389CC8941F578430411446E3426BA02C974BE1B78BAF3CADF338B54591BEEB7390371D5A567D558fA78K" TargetMode = "External"/>
	<Relationship Id="rId10" Type="http://schemas.openxmlformats.org/officeDocument/2006/relationships/hyperlink" Target="consultantplus://offline/ref=20C5F4A2CDB916B3BBFBCA64127FD7C68F4EA37444021E15376420ED5D9972EB5B38BCA69B986DD2051E50E3B0241F71D0fB78K" TargetMode = "External"/>
	<Relationship Id="rId11" Type="http://schemas.openxmlformats.org/officeDocument/2006/relationships/hyperlink" Target="consultantplus://offline/ref=20C5F4A2CDB916B3BBFBCA64127FD7C68F4EA37444001812376520ED5D9972EB5B38BCA6899835DE051D4EE3B231492096EE68D559B59B00B43F280Bf776K" TargetMode = "External"/>
	<Relationship Id="rId12" Type="http://schemas.openxmlformats.org/officeDocument/2006/relationships/hyperlink" Target="consultantplus://offline/ref=20C5F4A2CDB916B3BBFBCA64127FD7C68F4EA37444001812376520ED5D9972EB5B38BCA6899835DE051D4EE3B131492096EE68D559B59B00B43F280Bf776K" TargetMode = "External"/>
	<Relationship Id="rId13" Type="http://schemas.openxmlformats.org/officeDocument/2006/relationships/hyperlink" Target="consultantplus://offline/ref=20C5F4A2CDB916B3BBFBCA72011389CC8941F4714C0E11446E3426BA02C974BE0978E2FFCADF26DF02034CE3B5f379K" TargetMode = "External"/>
	<Relationship Id="rId14" Type="http://schemas.openxmlformats.org/officeDocument/2006/relationships/hyperlink" Target="consultantplus://offline/ref=20C5F4A2CDB916B3BBFBCA64127FD7C68F4EA37444001812376520ED5D9972EB5B38BCA6899835DE051D4EE3B031492096EE68D559B59B00B43F280Bf776K" TargetMode = "External"/>
	<Relationship Id="rId15" Type="http://schemas.openxmlformats.org/officeDocument/2006/relationships/hyperlink" Target="consultantplus://offline/ref=20C5F4A2CDB916B3BBFBCA64127FD7C68F4EA37444001812376520ED5D9972EB5B38BCA6899835DE051D4EE3BF31492096EE68D559B59B00B43F280Bf776K" TargetMode = "External"/>
	<Relationship Id="rId16" Type="http://schemas.openxmlformats.org/officeDocument/2006/relationships/hyperlink" Target="consultantplus://offline/ref=20C5F4A2CDB916B3BBFBCA64127FD7C68F4EA37444001812376520ED5D9972EB5B38BCA6899835DE051D4EE2B731492096EE68D559B59B00B43F280Bf776K" TargetMode = "External"/>
	<Relationship Id="rId17" Type="http://schemas.openxmlformats.org/officeDocument/2006/relationships/hyperlink" Target="consultantplus://offline/ref=20C5F4A2CDB916B3BBFBCA64127FD7C68F4EA37444001812376520ED5D9972EB5B38BCA6899835DE051D4EE2B631492096EE68D559B59B00B43F280Bf776K" TargetMode = "External"/>
	<Relationship Id="rId18" Type="http://schemas.openxmlformats.org/officeDocument/2006/relationships/hyperlink" Target="consultantplus://offline/ref=20C5F4A2CDB916B3BBFBCA64127FD7C68F4EA37444001812376520ED5D9972EB5B38BCA6899835DE051D4EE2B531492096EE68D559B59B00B43F280Bf776K" TargetMode = "External"/>
	<Relationship Id="rId19" Type="http://schemas.openxmlformats.org/officeDocument/2006/relationships/hyperlink" Target="consultantplus://offline/ref=20C5F4A2CDB916B3BBFBCA64127FD7C68F4EA37444001812376520ED5D9972EB5B38BCA6899835DE051D4EE2B531492096EE68D559B59B00B43F280Bf77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социальной защиты населения Владимирской обл. от 20.05.2021 N 11
(ред. от 05.05.2022)
"Об утверждении норм питания в организациях социального обслуживания Владимирской области"</dc:title>
  <dcterms:created xsi:type="dcterms:W3CDTF">2023-07-03T10:59:25Z</dcterms:created>
</cp:coreProperties>
</file>